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7D5" w:rsidRPr="00F01806" w:rsidRDefault="00707420" w:rsidP="00CA7AED">
      <w:pPr>
        <w:jc w:val="center"/>
        <w:rPr>
          <w:b/>
          <w:u w:val="single"/>
        </w:rPr>
      </w:pPr>
      <w:r>
        <w:rPr>
          <w:b/>
          <w:u w:val="single"/>
        </w:rPr>
        <w:t xml:space="preserve">Wessex PIN </w:t>
      </w:r>
      <w:r w:rsidR="00551D51" w:rsidRPr="00F01806">
        <w:rPr>
          <w:b/>
          <w:u w:val="single"/>
        </w:rPr>
        <w:t>Operations Meetings Co-Chair</w:t>
      </w:r>
    </w:p>
    <w:p w:rsidR="005957D5" w:rsidRPr="00F01806" w:rsidRDefault="005957D5">
      <w:pPr>
        <w:jc w:val="center"/>
        <w:rPr>
          <w:b/>
          <w:u w:val="single"/>
        </w:rPr>
      </w:pPr>
    </w:p>
    <w:p w:rsidR="00F01806" w:rsidRDefault="00F01806">
      <w:pPr>
        <w:rPr>
          <w:b/>
        </w:rPr>
      </w:pPr>
      <w:r>
        <w:rPr>
          <w:b/>
        </w:rPr>
        <w:t>Role Summary</w:t>
      </w:r>
    </w:p>
    <w:p w:rsidR="005957D5" w:rsidRPr="00F01806" w:rsidRDefault="00551D51">
      <w:r w:rsidRPr="00F01806">
        <w:t xml:space="preserve">The Wessex Public Involvement Network (Wessex PIN) is looking for an enthusiastic and motivated Co-Chair to help us achieve and further our goals of working together, sharing expertise and </w:t>
      </w:r>
      <w:r w:rsidR="00791DFF">
        <w:t xml:space="preserve">supporting us to </w:t>
      </w:r>
      <w:r w:rsidRPr="00F01806">
        <w:t xml:space="preserve">adapt to changes in health and social care research. </w:t>
      </w:r>
    </w:p>
    <w:p w:rsidR="005957D5" w:rsidRPr="00F01806" w:rsidRDefault="005957D5"/>
    <w:p w:rsidR="005957D5" w:rsidRDefault="00551D51">
      <w:r w:rsidRPr="00F01806">
        <w:t xml:space="preserve">Applicants need to live within reasonable travelling distance of Southampton and be able to commit to a minimum of 6 </w:t>
      </w:r>
      <w:r w:rsidR="00965782" w:rsidRPr="00F01806">
        <w:t xml:space="preserve">days per year, with </w:t>
      </w:r>
      <w:r w:rsidR="0065000E">
        <w:t>availability for</w:t>
      </w:r>
      <w:r w:rsidRPr="00F01806">
        <w:t xml:space="preserve"> an additional 3 half days </w:t>
      </w:r>
      <w:r w:rsidR="00965782" w:rsidRPr="00F01806">
        <w:t xml:space="preserve">to attend Strategic Oversight Group meetings </w:t>
      </w:r>
      <w:r w:rsidRPr="00F01806">
        <w:t xml:space="preserve">desirable. Availability to help organise and run additional events would </w:t>
      </w:r>
      <w:r w:rsidR="00E36CD1">
        <w:t xml:space="preserve">also </w:t>
      </w:r>
      <w:r w:rsidRPr="00F01806">
        <w:t>be desirable, but is not a necessity. All commitments will be reimbursed at a rate of £18.75 per hour plus expenses.</w:t>
      </w:r>
    </w:p>
    <w:p w:rsidR="00D336CA" w:rsidRDefault="00D336CA" w:rsidP="009F082D">
      <w:pPr>
        <w:spacing w:line="240" w:lineRule="auto"/>
      </w:pPr>
    </w:p>
    <w:p w:rsidR="00D336CA" w:rsidRPr="00F01806" w:rsidRDefault="00D336CA" w:rsidP="009F082D">
      <w:pPr>
        <w:spacing w:after="200" w:line="240" w:lineRule="auto"/>
      </w:pPr>
      <w:r w:rsidRPr="00F01806">
        <w:t>We have just begun an 18 month-long funding period, and hope to appoint a Co-Chair for at least the duration of the current funding cycle (ending March 2021).</w:t>
      </w:r>
    </w:p>
    <w:p w:rsidR="00F01806" w:rsidRPr="00F01806" w:rsidRDefault="00F01806">
      <w:pPr>
        <w:rPr>
          <w:b/>
          <w:shd w:val="clear" w:color="auto" w:fill="CCCCCC"/>
        </w:rPr>
      </w:pPr>
      <w:r>
        <w:rPr>
          <w:b/>
        </w:rPr>
        <w:t xml:space="preserve">Background </w:t>
      </w:r>
    </w:p>
    <w:p w:rsidR="005957D5" w:rsidRPr="00F01806" w:rsidRDefault="007E127F" w:rsidP="00791DFF">
      <w:r w:rsidRPr="00F01806">
        <w:t>The Wessex PIN</w:t>
      </w:r>
      <w:r w:rsidR="00551D51" w:rsidRPr="00F01806">
        <w:t xml:space="preserve"> is a network of </w:t>
      </w:r>
      <w:r w:rsidR="00F96E0D">
        <w:t>Wessex</w:t>
      </w:r>
      <w:r w:rsidR="00551D51" w:rsidRPr="00F01806">
        <w:t xml:space="preserve">-based National Institute for Health for Research </w:t>
      </w:r>
      <w:r w:rsidR="008E4286">
        <w:t xml:space="preserve">organisations set up in 2017 with the aspiration of excellence in public involvement (PPI) </w:t>
      </w:r>
      <w:r w:rsidR="00551D51" w:rsidRPr="00F01806">
        <w:t xml:space="preserve">practice within health and social care research. </w:t>
      </w:r>
      <w:r w:rsidR="00791DFF">
        <w:t xml:space="preserve">All the member organisations are concerned with health and care research that is relevant and has </w:t>
      </w:r>
      <w:r w:rsidR="004B0D65">
        <w:t xml:space="preserve">an </w:t>
      </w:r>
      <w:r w:rsidR="00FF5FBA">
        <w:t xml:space="preserve">impact. The Wessex PIN commits to </w:t>
      </w:r>
      <w:r w:rsidR="00551D51" w:rsidRPr="00F01806">
        <w:t xml:space="preserve">research </w:t>
      </w:r>
      <w:r w:rsidR="00FF5FBA">
        <w:t xml:space="preserve">that is </w:t>
      </w:r>
      <w:r w:rsidR="00551D51" w:rsidRPr="00F01806">
        <w:t xml:space="preserve">carried out </w:t>
      </w:r>
      <w:r w:rsidR="00551D51" w:rsidRPr="00791DFF">
        <w:rPr>
          <w:i/>
        </w:rPr>
        <w:t>with</w:t>
      </w:r>
      <w:r w:rsidR="00551D51" w:rsidRPr="00F01806">
        <w:t xml:space="preserve"> or </w:t>
      </w:r>
      <w:r w:rsidR="00551D51" w:rsidRPr="00791DFF">
        <w:rPr>
          <w:i/>
        </w:rPr>
        <w:t>by</w:t>
      </w:r>
      <w:r w:rsidR="00551D51" w:rsidRPr="00F01806">
        <w:t xml:space="preserve"> members of the public, rather than </w:t>
      </w:r>
      <w:r w:rsidR="00551D51" w:rsidRPr="00791DFF">
        <w:rPr>
          <w:i/>
        </w:rPr>
        <w:t>to</w:t>
      </w:r>
      <w:r w:rsidR="00551D51" w:rsidRPr="00F01806">
        <w:t xml:space="preserve">, </w:t>
      </w:r>
      <w:r w:rsidR="00551D51" w:rsidRPr="00791DFF">
        <w:rPr>
          <w:i/>
        </w:rPr>
        <w:t>about</w:t>
      </w:r>
      <w:r w:rsidR="00551D51" w:rsidRPr="00F01806">
        <w:t xml:space="preserve"> or </w:t>
      </w:r>
      <w:r w:rsidR="00551D51" w:rsidRPr="00791DFF">
        <w:rPr>
          <w:i/>
        </w:rPr>
        <w:t>for</w:t>
      </w:r>
      <w:r w:rsidR="00551D51" w:rsidRPr="00F01806">
        <w:t xml:space="preserve"> them’ (INVOLVE 2019).</w:t>
      </w:r>
    </w:p>
    <w:p w:rsidR="005957D5" w:rsidRPr="00D336CA" w:rsidRDefault="005957D5"/>
    <w:p w:rsidR="00D336CA" w:rsidRPr="00FF5FBA" w:rsidRDefault="00BB58F8">
      <w:pPr>
        <w:rPr>
          <w:u w:val="single"/>
        </w:rPr>
      </w:pPr>
      <w:r>
        <w:rPr>
          <w:u w:val="single"/>
        </w:rPr>
        <w:t>Objectives of the Wessex PIN</w:t>
      </w:r>
    </w:p>
    <w:p w:rsidR="00D336CA" w:rsidRPr="00D336CA" w:rsidRDefault="00D336CA" w:rsidP="00FF5FBA">
      <w:pPr>
        <w:numPr>
          <w:ilvl w:val="0"/>
          <w:numId w:val="12"/>
        </w:numPr>
      </w:pPr>
      <w:r>
        <w:t xml:space="preserve">Working together and </w:t>
      </w:r>
      <w:r w:rsidRPr="00FF5FBA">
        <w:t>sharing expertise and effort</w:t>
      </w:r>
      <w:r w:rsidRPr="00D336CA">
        <w:t>, improves how we involve the public in research.</w:t>
      </w:r>
    </w:p>
    <w:p w:rsidR="00D336CA" w:rsidRPr="00D336CA" w:rsidRDefault="00D336CA" w:rsidP="00FF5FBA">
      <w:pPr>
        <w:numPr>
          <w:ilvl w:val="0"/>
          <w:numId w:val="12"/>
        </w:numPr>
      </w:pPr>
      <w:r w:rsidRPr="00D336CA">
        <w:t>Creating a strong public involvement workforce, supporting and developing staff, public contributors and researchers.</w:t>
      </w:r>
    </w:p>
    <w:p w:rsidR="00D336CA" w:rsidRPr="00D336CA" w:rsidRDefault="00D336CA" w:rsidP="00FF5FBA">
      <w:pPr>
        <w:numPr>
          <w:ilvl w:val="0"/>
          <w:numId w:val="12"/>
        </w:numPr>
      </w:pPr>
      <w:r w:rsidRPr="00D336CA">
        <w:t>Working as a network helps to avoid duplication and ensures</w:t>
      </w:r>
      <w:r w:rsidRPr="00FF5FBA">
        <w:t xml:space="preserve"> sensible use of resources</w:t>
      </w:r>
      <w:r w:rsidRPr="00D336CA">
        <w:t xml:space="preserve">. </w:t>
      </w:r>
    </w:p>
    <w:p w:rsidR="00D336CA" w:rsidRPr="00D336CA" w:rsidRDefault="00D336CA" w:rsidP="00FF5FBA">
      <w:pPr>
        <w:numPr>
          <w:ilvl w:val="0"/>
          <w:numId w:val="12"/>
        </w:numPr>
      </w:pPr>
      <w:r w:rsidRPr="00D336CA">
        <w:rPr>
          <w:highlight w:val="white"/>
        </w:rPr>
        <w:t xml:space="preserve">To </w:t>
      </w:r>
      <w:r w:rsidRPr="00FF5FBA">
        <w:rPr>
          <w:highlight w:val="white"/>
        </w:rPr>
        <w:t>withstand change</w:t>
      </w:r>
      <w:r w:rsidRPr="00D336CA">
        <w:rPr>
          <w:highlight w:val="white"/>
        </w:rPr>
        <w:t xml:space="preserve"> within the health and care landscape, by utilising the strength of the network.</w:t>
      </w:r>
    </w:p>
    <w:p w:rsidR="00D336CA" w:rsidRPr="00D336CA" w:rsidRDefault="00D336CA" w:rsidP="00FF5FBA">
      <w:pPr>
        <w:numPr>
          <w:ilvl w:val="0"/>
          <w:numId w:val="12"/>
        </w:numPr>
      </w:pPr>
      <w:r w:rsidRPr="00D336CA">
        <w:t xml:space="preserve">Implementing </w:t>
      </w:r>
      <w:r w:rsidRPr="00FF5FBA">
        <w:t xml:space="preserve">new and adaptive </w:t>
      </w:r>
      <w:r w:rsidRPr="00D336CA">
        <w:t>approaches to public involvement.</w:t>
      </w:r>
    </w:p>
    <w:p w:rsidR="00D336CA" w:rsidRDefault="00D336CA"/>
    <w:p w:rsidR="00F01806" w:rsidRPr="00FF5FBA" w:rsidRDefault="00F01806">
      <w:pPr>
        <w:spacing w:line="240" w:lineRule="auto"/>
        <w:rPr>
          <w:b/>
          <w:u w:val="single"/>
        </w:rPr>
      </w:pPr>
      <w:r w:rsidRPr="00FF5FBA">
        <w:rPr>
          <w:u w:val="single"/>
        </w:rPr>
        <w:t>Structures</w:t>
      </w:r>
    </w:p>
    <w:p w:rsidR="005957D5" w:rsidRPr="00F01806" w:rsidRDefault="00551D51">
      <w:pPr>
        <w:spacing w:line="240" w:lineRule="auto"/>
      </w:pPr>
      <w:r w:rsidRPr="00F01806">
        <w:t>Wessex PIN is made up of two main groups which guide our direction:</w:t>
      </w:r>
    </w:p>
    <w:p w:rsidR="005957D5" w:rsidRPr="00F01806" w:rsidRDefault="005957D5">
      <w:pPr>
        <w:spacing w:line="240" w:lineRule="auto"/>
      </w:pPr>
    </w:p>
    <w:p w:rsidR="005957D5" w:rsidRPr="00F01806" w:rsidRDefault="00551D51" w:rsidP="00FF5FBA">
      <w:pPr>
        <w:spacing w:line="240" w:lineRule="auto"/>
      </w:pPr>
      <w:r w:rsidRPr="00F01806">
        <w:t xml:space="preserve">The </w:t>
      </w:r>
      <w:r w:rsidRPr="00F01806">
        <w:rPr>
          <w:b/>
        </w:rPr>
        <w:t>Wessex PIN Operations Group</w:t>
      </w:r>
      <w:r w:rsidRPr="00F01806">
        <w:t xml:space="preserve"> is a </w:t>
      </w:r>
      <w:r w:rsidR="00965782" w:rsidRPr="00F01806">
        <w:t xml:space="preserve">bi-monthly </w:t>
      </w:r>
      <w:r w:rsidRPr="00F01806">
        <w:t xml:space="preserve">forum for PPI </w:t>
      </w:r>
      <w:r w:rsidR="00F96E0D">
        <w:t>staff</w:t>
      </w:r>
      <w:r w:rsidR="00F96E0D" w:rsidRPr="00F01806">
        <w:t xml:space="preserve"> </w:t>
      </w:r>
      <w:r w:rsidRPr="00F01806">
        <w:t>and public contributors in member organisations to share, develop</w:t>
      </w:r>
      <w:r w:rsidR="00F46A35">
        <w:t>,</w:t>
      </w:r>
      <w:r w:rsidRPr="00F01806">
        <w:t xml:space="preserve"> and support our public involvement practice. </w:t>
      </w:r>
    </w:p>
    <w:p w:rsidR="005957D5" w:rsidRPr="00F01806" w:rsidRDefault="005957D5">
      <w:pPr>
        <w:spacing w:line="240" w:lineRule="auto"/>
        <w:ind w:left="720"/>
        <w:rPr>
          <w:color w:val="741B47"/>
        </w:rPr>
      </w:pPr>
    </w:p>
    <w:p w:rsidR="005957D5" w:rsidRPr="00F01806" w:rsidRDefault="00551D51">
      <w:pPr>
        <w:spacing w:line="240" w:lineRule="auto"/>
      </w:pPr>
      <w:r w:rsidRPr="00F01806">
        <w:t>The Operations group is accountable to the</w:t>
      </w:r>
      <w:r w:rsidRPr="00F01806">
        <w:rPr>
          <w:b/>
        </w:rPr>
        <w:t xml:space="preserve"> Wessex Public Involvement Network Director’s Strategic Oversight Group</w:t>
      </w:r>
      <w:r w:rsidRPr="00F01806">
        <w:t>, which provides strategic leadership in supporting the PIN to meet its aims, and provides oversight.  The Board</w:t>
      </w:r>
      <w:r w:rsidR="00965782" w:rsidRPr="00F01806">
        <w:t xml:space="preserve"> meets regularly every </w:t>
      </w:r>
      <w:r w:rsidR="00D336CA">
        <w:t xml:space="preserve">three </w:t>
      </w:r>
      <w:r w:rsidR="00965782" w:rsidRPr="00F01806">
        <w:t xml:space="preserve">months, and </w:t>
      </w:r>
      <w:r w:rsidRPr="00F01806">
        <w:t>provides a link to the NIHR Wessex Directors group, which funds the PIN.</w:t>
      </w:r>
    </w:p>
    <w:p w:rsidR="005957D5" w:rsidRPr="00F01806" w:rsidRDefault="005957D5">
      <w:pPr>
        <w:spacing w:line="240" w:lineRule="auto"/>
        <w:rPr>
          <w:color w:val="741B47"/>
        </w:rPr>
      </w:pPr>
    </w:p>
    <w:p w:rsidR="00D336CA" w:rsidRDefault="00D336CA">
      <w:pPr>
        <w:rPr>
          <w:b/>
        </w:rPr>
      </w:pPr>
    </w:p>
    <w:p w:rsidR="00F01806" w:rsidRPr="00FF5FBA" w:rsidRDefault="00C74BA8">
      <w:pPr>
        <w:rPr>
          <w:b/>
          <w:u w:val="single"/>
          <w:shd w:val="clear" w:color="auto" w:fill="999999"/>
        </w:rPr>
      </w:pPr>
      <w:r>
        <w:rPr>
          <w:b/>
        </w:rPr>
        <w:br w:type="page"/>
      </w:r>
      <w:r w:rsidR="00F01806" w:rsidRPr="00FF5FBA">
        <w:rPr>
          <w:b/>
          <w:u w:val="single"/>
        </w:rPr>
        <w:lastRenderedPageBreak/>
        <w:t>Responsibilities will include:</w:t>
      </w:r>
    </w:p>
    <w:p w:rsidR="00F01806" w:rsidRDefault="00F01806">
      <w:pPr>
        <w:rPr>
          <w:b/>
        </w:rPr>
      </w:pPr>
    </w:p>
    <w:p w:rsidR="00CA7AD9" w:rsidRDefault="00CA7AD9" w:rsidP="00CA7AD9">
      <w:r w:rsidRPr="00F01806">
        <w:rPr>
          <w:b/>
        </w:rPr>
        <w:t>Co-Chairing:</w:t>
      </w:r>
      <w:r>
        <w:rPr>
          <w:b/>
        </w:rPr>
        <w:t xml:space="preserve"> </w:t>
      </w:r>
      <w:r w:rsidRPr="00F01806">
        <w:t xml:space="preserve">To </w:t>
      </w:r>
      <w:r>
        <w:t xml:space="preserve">co-chair the Wessex PIN Operations meetings </w:t>
      </w:r>
      <w:r w:rsidRPr="00F01806">
        <w:t xml:space="preserve">with </w:t>
      </w:r>
      <w:r w:rsidR="00EF1955">
        <w:t>a staff member</w:t>
      </w:r>
      <w:r>
        <w:t xml:space="preserve">. This includes helping set the agenda and finalising the minutes. </w:t>
      </w:r>
    </w:p>
    <w:p w:rsidR="005957D5" w:rsidRPr="00F01806" w:rsidRDefault="005957D5"/>
    <w:p w:rsidR="005957D5" w:rsidRPr="00F01806" w:rsidRDefault="00551D51">
      <w:r w:rsidRPr="00F01806">
        <w:rPr>
          <w:b/>
        </w:rPr>
        <w:t>Advising:</w:t>
      </w:r>
      <w:r w:rsidR="00D336CA">
        <w:rPr>
          <w:b/>
        </w:rPr>
        <w:t xml:space="preserve"> </w:t>
      </w:r>
      <w:r w:rsidRPr="00F01806">
        <w:t xml:space="preserve">To </w:t>
      </w:r>
      <w:r w:rsidR="00CA7AD9">
        <w:t xml:space="preserve">offer your advice and input in all aspects of the Wessex PIN’s activities. </w:t>
      </w:r>
    </w:p>
    <w:p w:rsidR="005957D5" w:rsidRPr="00F01806" w:rsidRDefault="005957D5">
      <w:pPr>
        <w:rPr>
          <w:b/>
        </w:rPr>
      </w:pPr>
    </w:p>
    <w:p w:rsidR="005957D5" w:rsidRPr="00F01806" w:rsidRDefault="00551D51">
      <w:pPr>
        <w:rPr>
          <w:b/>
        </w:rPr>
      </w:pPr>
      <w:r w:rsidRPr="00F01806">
        <w:rPr>
          <w:b/>
        </w:rPr>
        <w:t xml:space="preserve">Advocating for stakeholders: </w:t>
      </w:r>
      <w:r w:rsidRPr="00F01806">
        <w:t xml:space="preserve">To advocate for patients, carers and the public in </w:t>
      </w:r>
      <w:r w:rsidR="00C74BA8">
        <w:t xml:space="preserve">the activities of the network. </w:t>
      </w:r>
      <w:r w:rsidRPr="00F01806">
        <w:t xml:space="preserve">  </w:t>
      </w:r>
    </w:p>
    <w:p w:rsidR="005957D5" w:rsidRPr="00F01806" w:rsidRDefault="005957D5">
      <w:pPr>
        <w:rPr>
          <w:b/>
        </w:rPr>
      </w:pPr>
    </w:p>
    <w:p w:rsidR="005957D5" w:rsidRPr="007E127F" w:rsidRDefault="00551D51">
      <w:r w:rsidRPr="00F01806">
        <w:rPr>
          <w:b/>
        </w:rPr>
        <w:t xml:space="preserve">Adhering to standards: </w:t>
      </w:r>
      <w:r w:rsidRPr="00F01806">
        <w:t xml:space="preserve">To promote and support Wessex PIN’s adherence to the </w:t>
      </w:r>
      <w:hyperlink r:id="rId7">
        <w:r w:rsidRPr="00F01806">
          <w:rPr>
            <w:u w:val="single"/>
          </w:rPr>
          <w:t>NIHR INVOLVE public involvement standards</w:t>
        </w:r>
      </w:hyperlink>
    </w:p>
    <w:p w:rsidR="00CA7AD9" w:rsidRDefault="00CA7AD9"/>
    <w:p w:rsidR="00CA7AD9" w:rsidRDefault="00CA7AD9">
      <w:r w:rsidRPr="00FF5FBA">
        <w:rPr>
          <w:b/>
          <w:u w:val="single"/>
        </w:rPr>
        <w:t>Optional responsibilities</w:t>
      </w:r>
      <w:r>
        <w:rPr>
          <w:b/>
        </w:rPr>
        <w:t xml:space="preserve"> </w:t>
      </w:r>
    </w:p>
    <w:p w:rsidR="004D34F7" w:rsidRDefault="004D34F7">
      <w:pPr>
        <w:rPr>
          <w:b/>
        </w:rPr>
      </w:pPr>
    </w:p>
    <w:p w:rsidR="00CA7AD9" w:rsidRDefault="00CA7AD9" w:rsidP="00CA7AD9">
      <w:r w:rsidRPr="00F01806">
        <w:rPr>
          <w:b/>
        </w:rPr>
        <w:t>Representing the PIN:</w:t>
      </w:r>
      <w:r>
        <w:rPr>
          <w:b/>
        </w:rPr>
        <w:t xml:space="preserve"> </w:t>
      </w:r>
      <w:r w:rsidRPr="00F01806">
        <w:t>To promote and represent the Wessex PIN locally, regionally and nationally</w:t>
      </w:r>
      <w:r>
        <w:t xml:space="preserve">. </w:t>
      </w:r>
    </w:p>
    <w:p w:rsidR="00CA7AD9" w:rsidRDefault="00CA7AD9" w:rsidP="00CA7AD9"/>
    <w:p w:rsidR="00CA7AD9" w:rsidRPr="00FF5FBA" w:rsidRDefault="00CA7AD9" w:rsidP="00CA7AD9">
      <w:r w:rsidRPr="00FF5FBA">
        <w:rPr>
          <w:b/>
        </w:rPr>
        <w:t xml:space="preserve">Attendance </w:t>
      </w:r>
      <w:r>
        <w:rPr>
          <w:b/>
        </w:rPr>
        <w:t xml:space="preserve">at Strategic Oversight Group: </w:t>
      </w:r>
      <w:r w:rsidR="00EF1955">
        <w:t xml:space="preserve">To represent the Operations group, with staff members.  </w:t>
      </w:r>
    </w:p>
    <w:p w:rsidR="004D34F7" w:rsidRDefault="004D34F7">
      <w:pPr>
        <w:rPr>
          <w:b/>
        </w:rPr>
      </w:pPr>
    </w:p>
    <w:p w:rsidR="004D34F7" w:rsidRDefault="004D34F7">
      <w:pPr>
        <w:rPr>
          <w:b/>
        </w:rPr>
      </w:pPr>
    </w:p>
    <w:p w:rsidR="004D34F7" w:rsidRDefault="00EF706E">
      <w:pPr>
        <w:rPr>
          <w:b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B290A9" wp14:editId="3E64980F">
                <wp:simplePos x="0" y="0"/>
                <wp:positionH relativeFrom="column">
                  <wp:posOffset>59690</wp:posOffset>
                </wp:positionH>
                <wp:positionV relativeFrom="paragraph">
                  <wp:posOffset>-1905</wp:posOffset>
                </wp:positionV>
                <wp:extent cx="5610225" cy="1120140"/>
                <wp:effectExtent l="0" t="0" r="28575" b="1143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06E" w:rsidRDefault="00EF706E" w:rsidP="00EF706E">
                            <w:pPr>
                              <w:spacing w:after="200"/>
                              <w:jc w:val="center"/>
                              <w:rPr>
                                <w:rFonts w:eastAsia="Calibri"/>
                                <w:b/>
                                <w:lang w:eastAsia="en-US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lang w:val="x-none" w:eastAsia="en-US"/>
                              </w:rPr>
                              <w:t>Find out more</w:t>
                            </w:r>
                          </w:p>
                          <w:p w:rsidR="00EF706E" w:rsidRDefault="00EF706E" w:rsidP="00EF706E">
                            <w:pPr>
                              <w:spacing w:after="200"/>
                              <w:rPr>
                                <w:rFonts w:eastAsia="Calibri"/>
                                <w:lang w:eastAsia="en-US"/>
                              </w:rPr>
                            </w:pPr>
                            <w:r>
                              <w:rPr>
                                <w:rFonts w:eastAsia="Calibri"/>
                                <w:bCs/>
                                <w:lang w:eastAsia="en-US"/>
                              </w:rPr>
                              <w:t>Email</w:t>
                            </w:r>
                            <w:r>
                              <w:rPr>
                                <w:rFonts w:eastAsia="Calibri"/>
                                <w:bCs/>
                                <w:lang w:val="x-none" w:eastAsia="en-US"/>
                              </w:rPr>
                              <w:t xml:space="preserve"> </w:t>
                            </w:r>
                            <w:r>
                              <w:rPr>
                                <w:rFonts w:eastAsia="Calibri"/>
                                <w:bCs/>
                                <w:lang w:eastAsia="en-US"/>
                              </w:rPr>
                              <w:t>Barney Jones</w:t>
                            </w:r>
                            <w:r>
                              <w:rPr>
                                <w:rFonts w:eastAsia="Calibri"/>
                                <w:bCs/>
                                <w:lang w:val="x-none" w:eastAsia="en-US"/>
                              </w:rPr>
                              <w:t xml:space="preserve"> (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eastAsia="Calibri"/>
                                  <w:bCs/>
                                  <w:lang w:eastAsia="en-US"/>
                                </w:rPr>
                                <w:t>william.jones</w:t>
                              </w:r>
                              <w:r>
                                <w:rPr>
                                  <w:rStyle w:val="Hyperlink"/>
                                  <w:rFonts w:eastAsia="Calibri"/>
                                  <w:bCs/>
                                  <w:lang w:val="x-none" w:eastAsia="en-US"/>
                                </w:rPr>
                                <w:t>@uhs.nhs.uk</w:t>
                              </w:r>
                            </w:hyperlink>
                            <w:r>
                              <w:rPr>
                                <w:rFonts w:eastAsia="Calibri"/>
                                <w:bCs/>
                                <w:lang w:val="x-none" w:eastAsia="en-US"/>
                              </w:rPr>
                              <w:t>) or call (023 81</w:t>
                            </w:r>
                            <w:r>
                              <w:rPr>
                                <w:rFonts w:eastAsia="Calibri"/>
                                <w:bCs/>
                                <w:lang w:eastAsia="en-US"/>
                              </w:rPr>
                              <w:t>20 4989</w:t>
                            </w:r>
                            <w:r>
                              <w:rPr>
                                <w:rFonts w:eastAsia="Calibri"/>
                                <w:bCs/>
                                <w:lang w:val="x-none" w:eastAsia="en-US"/>
                              </w:rPr>
                              <w:t>)</w:t>
                            </w:r>
                            <w:r>
                              <w:rPr>
                                <w:rFonts w:eastAsia="Calibri"/>
                                <w:bCs/>
                                <w:lang w:eastAsia="en-US"/>
                              </w:rPr>
                              <w:t xml:space="preserve"> by Monday 24</w:t>
                            </w:r>
                            <w:r>
                              <w:rPr>
                                <w:rFonts w:eastAsia="Calibri"/>
                                <w:bCs/>
                                <w:vertAlign w:val="superscript"/>
                                <w:lang w:eastAsia="en-US"/>
                              </w:rPr>
                              <w:t>th</w:t>
                            </w:r>
                            <w:r>
                              <w:rPr>
                                <w:rFonts w:eastAsia="Calibri"/>
                                <w:bCs/>
                                <w:lang w:eastAsia="en-US"/>
                              </w:rPr>
                              <w:t xml:space="preserve"> February</w:t>
                            </w:r>
                            <w:r>
                              <w:rPr>
                                <w:rFonts w:eastAsia="Calibri"/>
                                <w:bCs/>
                                <w:lang w:val="x-none" w:eastAsia="en-US"/>
                              </w:rPr>
                              <w:t>.</w:t>
                            </w:r>
                          </w:p>
                          <w:p w:rsidR="00EF706E" w:rsidRDefault="00EF706E" w:rsidP="00EF706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4.7pt;margin-top:-.15pt;width:441.75pt;height:88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">
                <v:textbox style="mso-fit-shape-to-text:t">
                  <w:txbxContent>
                    <w:p w:rsidR="00EF706E" w:rsidRDefault="00EF706E" w:rsidP="00EF706E">
                      <w:pPr>
                        <w:spacing w:after="200"/>
                        <w:jc w:val="center"/>
                        <w:rPr>
                          <w:rFonts w:eastAsia="Calibri"/>
                          <w:b/>
                          <w:lang w:eastAsia="en-US"/>
                        </w:rPr>
                      </w:pPr>
                      <w:r>
                        <w:rPr>
                          <w:rFonts w:eastAsia="Calibri"/>
                          <w:b/>
                          <w:lang w:val="x-none" w:eastAsia="en-US"/>
                        </w:rPr>
                        <w:t>Find out more</w:t>
                      </w:r>
                    </w:p>
                    <w:p w:rsidR="00EF706E" w:rsidRDefault="00EF706E" w:rsidP="00EF706E">
                      <w:pPr>
                        <w:spacing w:after="200"/>
                        <w:rPr>
                          <w:rFonts w:eastAsia="Calibri"/>
                          <w:lang w:eastAsia="en-US"/>
                        </w:rPr>
                      </w:pPr>
                      <w:r>
                        <w:rPr>
                          <w:rFonts w:eastAsia="Calibri"/>
                          <w:bCs/>
                          <w:lang w:eastAsia="en-US"/>
                        </w:rPr>
                        <w:t>Email</w:t>
                      </w:r>
                      <w:r>
                        <w:rPr>
                          <w:rFonts w:eastAsia="Calibri"/>
                          <w:bCs/>
                          <w:lang w:val="x-none" w:eastAsia="en-US"/>
                        </w:rPr>
                        <w:t xml:space="preserve"> </w:t>
                      </w:r>
                      <w:r>
                        <w:rPr>
                          <w:rFonts w:eastAsia="Calibri"/>
                          <w:bCs/>
                          <w:lang w:eastAsia="en-US"/>
                        </w:rPr>
                        <w:t>Barney Jones</w:t>
                      </w:r>
                      <w:r>
                        <w:rPr>
                          <w:rFonts w:eastAsia="Calibri"/>
                          <w:bCs/>
                          <w:lang w:val="x-none" w:eastAsia="en-US"/>
                        </w:rPr>
                        <w:t xml:space="preserve"> (</w:t>
                      </w:r>
                      <w:hyperlink r:id="rId9" w:history="1">
                        <w:r>
                          <w:rPr>
                            <w:rStyle w:val="Hyperlink"/>
                            <w:rFonts w:eastAsia="Calibri"/>
                            <w:bCs/>
                            <w:lang w:eastAsia="en-US"/>
                          </w:rPr>
                          <w:t>william.jones</w:t>
                        </w:r>
                        <w:r>
                          <w:rPr>
                            <w:rStyle w:val="Hyperlink"/>
                            <w:rFonts w:eastAsia="Calibri"/>
                            <w:bCs/>
                            <w:lang w:val="x-none" w:eastAsia="en-US"/>
                          </w:rPr>
                          <w:t>@uhs.nhs.uk</w:t>
                        </w:r>
                      </w:hyperlink>
                      <w:r>
                        <w:rPr>
                          <w:rFonts w:eastAsia="Calibri"/>
                          <w:bCs/>
                          <w:lang w:val="x-none" w:eastAsia="en-US"/>
                        </w:rPr>
                        <w:t>) or call (023 81</w:t>
                      </w:r>
                      <w:r>
                        <w:rPr>
                          <w:rFonts w:eastAsia="Calibri"/>
                          <w:bCs/>
                          <w:lang w:eastAsia="en-US"/>
                        </w:rPr>
                        <w:t>20 4989</w:t>
                      </w:r>
                      <w:r>
                        <w:rPr>
                          <w:rFonts w:eastAsia="Calibri"/>
                          <w:bCs/>
                          <w:lang w:val="x-none" w:eastAsia="en-US"/>
                        </w:rPr>
                        <w:t>)</w:t>
                      </w:r>
                      <w:r>
                        <w:rPr>
                          <w:rFonts w:eastAsia="Calibri"/>
                          <w:bCs/>
                          <w:lang w:eastAsia="en-US"/>
                        </w:rPr>
                        <w:t xml:space="preserve"> by Monday 24</w:t>
                      </w:r>
                      <w:r>
                        <w:rPr>
                          <w:rFonts w:eastAsia="Calibri"/>
                          <w:bCs/>
                          <w:vertAlign w:val="superscript"/>
                          <w:lang w:eastAsia="en-US"/>
                        </w:rPr>
                        <w:t>th</w:t>
                      </w:r>
                      <w:r>
                        <w:rPr>
                          <w:rFonts w:eastAsia="Calibri"/>
                          <w:bCs/>
                          <w:lang w:eastAsia="en-US"/>
                        </w:rPr>
                        <w:t xml:space="preserve"> February</w:t>
                      </w:r>
                      <w:r>
                        <w:rPr>
                          <w:rFonts w:eastAsia="Calibri"/>
                          <w:bCs/>
                          <w:lang w:val="x-none" w:eastAsia="en-US"/>
                        </w:rPr>
                        <w:t>.</w:t>
                      </w:r>
                    </w:p>
                    <w:p w:rsidR="00EF706E" w:rsidRDefault="00EF706E" w:rsidP="00EF706E"/>
                  </w:txbxContent>
                </v:textbox>
              </v:shape>
            </w:pict>
          </mc:Fallback>
        </mc:AlternateContent>
      </w:r>
    </w:p>
    <w:p w:rsidR="004D34F7" w:rsidRDefault="004D34F7">
      <w:pPr>
        <w:rPr>
          <w:b/>
        </w:rPr>
      </w:pPr>
    </w:p>
    <w:p w:rsidR="004D34F7" w:rsidRDefault="004D34F7">
      <w:pPr>
        <w:rPr>
          <w:b/>
        </w:rPr>
      </w:pPr>
    </w:p>
    <w:p w:rsidR="004D34F7" w:rsidRDefault="004D34F7">
      <w:pPr>
        <w:rPr>
          <w:b/>
        </w:rPr>
      </w:pPr>
    </w:p>
    <w:p w:rsidR="004D34F7" w:rsidRDefault="004D34F7">
      <w:pPr>
        <w:rPr>
          <w:b/>
        </w:rPr>
      </w:pPr>
    </w:p>
    <w:p w:rsidR="004D34F7" w:rsidRDefault="004D34F7">
      <w:pPr>
        <w:rPr>
          <w:b/>
        </w:rPr>
      </w:pPr>
    </w:p>
    <w:p w:rsidR="004D34F7" w:rsidRDefault="004D34F7">
      <w:pPr>
        <w:rPr>
          <w:b/>
        </w:rPr>
      </w:pPr>
    </w:p>
    <w:p w:rsidR="004D34F7" w:rsidRDefault="004D34F7">
      <w:pPr>
        <w:rPr>
          <w:b/>
        </w:rPr>
      </w:pPr>
    </w:p>
    <w:p w:rsidR="004D34F7" w:rsidRDefault="004D34F7">
      <w:pPr>
        <w:rPr>
          <w:b/>
        </w:rPr>
      </w:pPr>
    </w:p>
    <w:p w:rsidR="004D34F7" w:rsidRDefault="004D34F7">
      <w:pPr>
        <w:rPr>
          <w:b/>
        </w:rPr>
      </w:pPr>
    </w:p>
    <w:p w:rsidR="004D34F7" w:rsidRDefault="004D34F7">
      <w:pPr>
        <w:rPr>
          <w:b/>
        </w:rPr>
      </w:pPr>
    </w:p>
    <w:p w:rsidR="004D34F7" w:rsidRDefault="004D34F7">
      <w:pPr>
        <w:rPr>
          <w:b/>
        </w:rPr>
      </w:pPr>
    </w:p>
    <w:p w:rsidR="004D34F7" w:rsidRDefault="004D34F7">
      <w:pPr>
        <w:rPr>
          <w:b/>
        </w:rPr>
      </w:pPr>
    </w:p>
    <w:p w:rsidR="004D34F7" w:rsidRDefault="004D34F7">
      <w:pPr>
        <w:rPr>
          <w:b/>
        </w:rPr>
        <w:sectPr w:rsidR="004D34F7">
          <w:pgSz w:w="11909" w:h="16834"/>
          <w:pgMar w:top="1440" w:right="1440" w:bottom="1440" w:left="1440" w:header="720" w:footer="720" w:gutter="0"/>
          <w:pgNumType w:start="1"/>
          <w:cols w:space="720"/>
        </w:sectPr>
      </w:pPr>
      <w:bookmarkStart w:id="0" w:name="_GoBack"/>
      <w:bookmarkEnd w:id="0"/>
    </w:p>
    <w:tbl>
      <w:tblPr>
        <w:tblStyle w:val="a"/>
        <w:tblpPr w:leftFromText="180" w:rightFromText="180" w:vertAnchor="text" w:horzAnchor="margin" w:tblpY="568"/>
        <w:tblW w:w="140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7"/>
        <w:gridCol w:w="6521"/>
        <w:gridCol w:w="4536"/>
      </w:tblGrid>
      <w:tr w:rsidR="005C5951" w:rsidTr="005C5951"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951" w:rsidRDefault="005C5951" w:rsidP="005C5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Criterion</w:t>
            </w:r>
          </w:p>
        </w:tc>
        <w:tc>
          <w:tcPr>
            <w:tcW w:w="6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951" w:rsidRPr="005C5951" w:rsidRDefault="005C5951" w:rsidP="005C5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5C5951">
              <w:rPr>
                <w:b/>
              </w:rPr>
              <w:t>Essential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951" w:rsidRPr="005C5951" w:rsidRDefault="005C5951" w:rsidP="005C5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5C5951">
              <w:rPr>
                <w:b/>
              </w:rPr>
              <w:t>Desirable</w:t>
            </w:r>
          </w:p>
        </w:tc>
      </w:tr>
      <w:tr w:rsidR="005C5951" w:rsidTr="005C5951"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951" w:rsidRDefault="005C5951" w:rsidP="005C5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Qualifications</w:t>
            </w:r>
          </w:p>
        </w:tc>
        <w:tc>
          <w:tcPr>
            <w:tcW w:w="6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951" w:rsidRPr="005C5951" w:rsidRDefault="005C5951" w:rsidP="005C5951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C5951">
              <w:t>No formal qualifications required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951" w:rsidRPr="005C5951" w:rsidRDefault="005C5951" w:rsidP="005C5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C5951" w:rsidTr="005C5951"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951" w:rsidRDefault="005C5951" w:rsidP="005C5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Experience &amp; Knowledge</w:t>
            </w:r>
          </w:p>
        </w:tc>
        <w:tc>
          <w:tcPr>
            <w:tcW w:w="6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951" w:rsidRPr="005C5951" w:rsidRDefault="005C5951" w:rsidP="005C5951">
            <w:pPr>
              <w:numPr>
                <w:ilvl w:val="0"/>
                <w:numId w:val="6"/>
              </w:numPr>
              <w:spacing w:line="240" w:lineRule="auto"/>
            </w:pPr>
            <w:r w:rsidRPr="005C5951">
              <w:t xml:space="preserve">Experience of taking part in PPI activities as a patient or public representative (or equivalent experience) </w:t>
            </w:r>
          </w:p>
          <w:p w:rsidR="005C5951" w:rsidRPr="005C5951" w:rsidRDefault="005C5951" w:rsidP="005C5951">
            <w:pPr>
              <w:numPr>
                <w:ilvl w:val="0"/>
                <w:numId w:val="6"/>
              </w:numPr>
              <w:spacing w:line="240" w:lineRule="auto"/>
            </w:pPr>
            <w:r w:rsidRPr="005C5951">
              <w:t>Experience of chairing meetings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951" w:rsidRPr="005C5951" w:rsidRDefault="005C5951" w:rsidP="005C5951">
            <w:pPr>
              <w:numPr>
                <w:ilvl w:val="0"/>
                <w:numId w:val="8"/>
              </w:numPr>
              <w:spacing w:line="240" w:lineRule="auto"/>
            </w:pPr>
            <w:r w:rsidRPr="005C5951">
              <w:t xml:space="preserve">Knowledge of the NIHR </w:t>
            </w:r>
          </w:p>
          <w:p w:rsidR="005C5951" w:rsidRPr="005C5951" w:rsidRDefault="005C5951" w:rsidP="005C5951">
            <w:pPr>
              <w:numPr>
                <w:ilvl w:val="0"/>
                <w:numId w:val="8"/>
              </w:numPr>
              <w:spacing w:line="240" w:lineRule="auto"/>
            </w:pPr>
            <w:r w:rsidRPr="005C5951">
              <w:t>An understanding of health &amp; social care research</w:t>
            </w:r>
          </w:p>
        </w:tc>
      </w:tr>
      <w:tr w:rsidR="005C5951" w:rsidTr="005C5951"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951" w:rsidRDefault="005C5951" w:rsidP="005C5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Skills &amp; abilities</w:t>
            </w:r>
          </w:p>
        </w:tc>
        <w:tc>
          <w:tcPr>
            <w:tcW w:w="6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951" w:rsidRPr="005C5951" w:rsidRDefault="005C5951" w:rsidP="005C5951">
            <w:pPr>
              <w:numPr>
                <w:ilvl w:val="0"/>
                <w:numId w:val="8"/>
              </w:numPr>
              <w:spacing w:after="160" w:line="240" w:lineRule="auto"/>
            </w:pPr>
            <w:r w:rsidRPr="005C5951">
              <w:t xml:space="preserve">Excellent communication &amp; interpersonal skills </w:t>
            </w:r>
          </w:p>
          <w:p w:rsidR="005C5951" w:rsidRPr="005C5951" w:rsidRDefault="005C5951" w:rsidP="005C5951">
            <w:pPr>
              <w:numPr>
                <w:ilvl w:val="0"/>
                <w:numId w:val="8"/>
              </w:numPr>
              <w:spacing w:line="240" w:lineRule="auto"/>
            </w:pPr>
            <w:r w:rsidRPr="005C5951">
              <w:t>The ability to understand the context within which the Wessex PIN operates (e.g. organisational structures)</w:t>
            </w:r>
          </w:p>
          <w:p w:rsidR="005C5951" w:rsidRPr="005C5951" w:rsidRDefault="005C5951" w:rsidP="005C5951">
            <w:pPr>
              <w:numPr>
                <w:ilvl w:val="0"/>
                <w:numId w:val="8"/>
              </w:numPr>
              <w:spacing w:line="240" w:lineRule="auto"/>
            </w:pPr>
            <w:r w:rsidRPr="005C5951">
              <w:t>The ability to use a computer &amp; access and use Google Drive via the internet.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951" w:rsidRPr="005C5951" w:rsidRDefault="005C5951" w:rsidP="005C595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C5951">
              <w:t xml:space="preserve">Experience of presenting to an audience with or without the use of audio visual equipment </w:t>
            </w:r>
          </w:p>
          <w:p w:rsidR="005C5951" w:rsidRPr="005C5951" w:rsidRDefault="005C5951" w:rsidP="005C595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C5951">
              <w:t>Use of email &amp; Microsoft Office</w:t>
            </w:r>
          </w:p>
        </w:tc>
      </w:tr>
      <w:tr w:rsidR="005C5951" w:rsidTr="005C5951"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951" w:rsidRDefault="005C5951" w:rsidP="005C5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Personal Qualities</w:t>
            </w:r>
          </w:p>
        </w:tc>
        <w:tc>
          <w:tcPr>
            <w:tcW w:w="6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951" w:rsidRPr="005C5951" w:rsidRDefault="005C5951" w:rsidP="005C5951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C5951">
              <w:t>An interest in and commitment to i</w:t>
            </w:r>
            <w:r>
              <w:t>mproving health and social care</w:t>
            </w:r>
          </w:p>
          <w:p w:rsidR="005C5951" w:rsidRPr="005C5951" w:rsidRDefault="005C5951" w:rsidP="005C5951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C5951">
              <w:t>Flexibility &amp; empathy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951" w:rsidRPr="005C5951" w:rsidRDefault="005C5951" w:rsidP="005C5951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C5951">
              <w:t>Confidence &amp; a belief in the difference your own contribution can make to health &amp; social care research</w:t>
            </w:r>
          </w:p>
          <w:p w:rsidR="005C5951" w:rsidRPr="005C5951" w:rsidRDefault="005C5951" w:rsidP="005C5951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C5951">
              <w:t>Tenacity &amp; resilience</w:t>
            </w:r>
          </w:p>
        </w:tc>
      </w:tr>
      <w:tr w:rsidR="005C5951" w:rsidTr="005C5951"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951" w:rsidRDefault="005C5951" w:rsidP="005C5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Living the NIHR public involvement values</w:t>
            </w:r>
          </w:p>
        </w:tc>
        <w:tc>
          <w:tcPr>
            <w:tcW w:w="6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951" w:rsidRPr="005C5951" w:rsidRDefault="005C5951" w:rsidP="005C5951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C5951">
              <w:t>Commitment to being inclusive</w:t>
            </w:r>
          </w:p>
          <w:p w:rsidR="005C5951" w:rsidRPr="005C5951" w:rsidRDefault="005C5951" w:rsidP="005C5951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C5951">
              <w:t>Valuing shared working &amp; mutually respectful relationships</w:t>
            </w:r>
          </w:p>
          <w:p w:rsidR="005C5951" w:rsidRPr="005C5951" w:rsidRDefault="005C5951" w:rsidP="005C5951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C5951">
              <w:t>Valuing &amp; supporting learning for public involvement</w:t>
            </w:r>
          </w:p>
          <w:p w:rsidR="005C5951" w:rsidRPr="005C5951" w:rsidRDefault="005C5951" w:rsidP="005C5951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C5951">
              <w:t>Using plain language &amp; valuing two way communication</w:t>
            </w:r>
          </w:p>
          <w:p w:rsidR="005C5951" w:rsidRPr="005C5951" w:rsidRDefault="005C5951" w:rsidP="005C5951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C5951">
              <w:t>Commitment to capturing &amp; sharing the difference that public involvement makes</w:t>
            </w:r>
          </w:p>
          <w:p w:rsidR="005C5951" w:rsidRPr="005C5951" w:rsidRDefault="005C5951" w:rsidP="005C5951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C5951">
              <w:t>Commitment to shared decision making to promote &amp; protect the public interest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951" w:rsidRPr="005C5951" w:rsidRDefault="005C5951" w:rsidP="005C5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C5951" w:rsidTr="005C5951">
        <w:trPr>
          <w:trHeight w:val="448"/>
        </w:trPr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951" w:rsidRDefault="005C5951" w:rsidP="005C5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Special Requirements</w:t>
            </w:r>
          </w:p>
        </w:tc>
        <w:tc>
          <w:tcPr>
            <w:tcW w:w="6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951" w:rsidRPr="005C5951" w:rsidRDefault="005C5951" w:rsidP="005C5951">
            <w:pPr>
              <w:pStyle w:val="ListParagraph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C5951">
              <w:t>Ability to travel &amp; attend meetings within Wessex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951" w:rsidRPr="005C5951" w:rsidRDefault="005C5951" w:rsidP="005C5951">
            <w:pPr>
              <w:pStyle w:val="ListParagraph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C5951">
              <w:t>Willingness to travel to events outside of Wessex</w:t>
            </w:r>
          </w:p>
        </w:tc>
      </w:tr>
    </w:tbl>
    <w:p w:rsidR="005957D5" w:rsidRPr="005C5951" w:rsidRDefault="005C5951" w:rsidP="005C5951">
      <w:pPr>
        <w:shd w:val="clear" w:color="auto" w:fill="FFFFFF"/>
        <w:spacing w:after="240"/>
        <w:rPr>
          <w:b/>
        </w:rPr>
      </w:pPr>
      <w:r>
        <w:rPr>
          <w:b/>
        </w:rPr>
        <w:t>Professional experience requirements/skills</w:t>
      </w:r>
    </w:p>
    <w:sectPr w:rsidR="005957D5" w:rsidRPr="005C5951" w:rsidSect="004D34F7">
      <w:pgSz w:w="16834" w:h="11909" w:orient="landscape" w:code="9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7266"/>
    <w:multiLevelType w:val="multilevel"/>
    <w:tmpl w:val="0BE256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7062929"/>
    <w:multiLevelType w:val="hybridMultilevel"/>
    <w:tmpl w:val="11E87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157F1"/>
    <w:multiLevelType w:val="multilevel"/>
    <w:tmpl w:val="0CCC2A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1B02089"/>
    <w:multiLevelType w:val="hybridMultilevel"/>
    <w:tmpl w:val="9FE82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D5BEE"/>
    <w:multiLevelType w:val="multilevel"/>
    <w:tmpl w:val="ECDC6E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30AF6828"/>
    <w:multiLevelType w:val="multilevel"/>
    <w:tmpl w:val="34527A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3A952C32"/>
    <w:multiLevelType w:val="hybridMultilevel"/>
    <w:tmpl w:val="6E02D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033455"/>
    <w:multiLevelType w:val="multilevel"/>
    <w:tmpl w:val="E1AAD9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43962256"/>
    <w:multiLevelType w:val="multilevel"/>
    <w:tmpl w:val="E3500D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5249022B"/>
    <w:multiLevelType w:val="multilevel"/>
    <w:tmpl w:val="AB4875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621B7C73"/>
    <w:multiLevelType w:val="multilevel"/>
    <w:tmpl w:val="5324DE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667312DB"/>
    <w:multiLevelType w:val="multilevel"/>
    <w:tmpl w:val="0AB88B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6F34676D"/>
    <w:multiLevelType w:val="multilevel"/>
    <w:tmpl w:val="20907F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4"/>
  </w:num>
  <w:num w:numId="5">
    <w:abstractNumId w:val="0"/>
  </w:num>
  <w:num w:numId="6">
    <w:abstractNumId w:val="10"/>
  </w:num>
  <w:num w:numId="7">
    <w:abstractNumId w:val="2"/>
  </w:num>
  <w:num w:numId="8">
    <w:abstractNumId w:val="8"/>
  </w:num>
  <w:num w:numId="9">
    <w:abstractNumId w:val="7"/>
  </w:num>
  <w:num w:numId="10">
    <w:abstractNumId w:val="3"/>
  </w:num>
  <w:num w:numId="11">
    <w:abstractNumId w:val="6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957D5"/>
    <w:rsid w:val="0005336A"/>
    <w:rsid w:val="001B51EC"/>
    <w:rsid w:val="00365B88"/>
    <w:rsid w:val="00420C12"/>
    <w:rsid w:val="004B0D65"/>
    <w:rsid w:val="004D34F7"/>
    <w:rsid w:val="00551D51"/>
    <w:rsid w:val="00580E62"/>
    <w:rsid w:val="005957D5"/>
    <w:rsid w:val="005C5951"/>
    <w:rsid w:val="005D32C7"/>
    <w:rsid w:val="0065000E"/>
    <w:rsid w:val="006A3B76"/>
    <w:rsid w:val="00707420"/>
    <w:rsid w:val="0076342A"/>
    <w:rsid w:val="00791DFF"/>
    <w:rsid w:val="007E127F"/>
    <w:rsid w:val="008E4286"/>
    <w:rsid w:val="00965782"/>
    <w:rsid w:val="009F082D"/>
    <w:rsid w:val="00B81B8F"/>
    <w:rsid w:val="00BA5928"/>
    <w:rsid w:val="00BB0798"/>
    <w:rsid w:val="00BB58F8"/>
    <w:rsid w:val="00C6280D"/>
    <w:rsid w:val="00C74BA8"/>
    <w:rsid w:val="00CA7AD9"/>
    <w:rsid w:val="00CA7AED"/>
    <w:rsid w:val="00CE7AEE"/>
    <w:rsid w:val="00D276EE"/>
    <w:rsid w:val="00D336CA"/>
    <w:rsid w:val="00D8215C"/>
    <w:rsid w:val="00E36CD1"/>
    <w:rsid w:val="00E7722F"/>
    <w:rsid w:val="00EF1955"/>
    <w:rsid w:val="00EF706E"/>
    <w:rsid w:val="00F01806"/>
    <w:rsid w:val="00F46A35"/>
    <w:rsid w:val="00F96E0D"/>
    <w:rsid w:val="00FD6DAE"/>
    <w:rsid w:val="00FF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59"/>
    <w:rsid w:val="007E12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96E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6E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6E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E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E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E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E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1DFF"/>
    <w:pPr>
      <w:ind w:left="720"/>
      <w:contextualSpacing/>
    </w:pPr>
  </w:style>
  <w:style w:type="paragraph" w:styleId="Revision">
    <w:name w:val="Revision"/>
    <w:hidden/>
    <w:uiPriority w:val="99"/>
    <w:semiHidden/>
    <w:rsid w:val="00C74BA8"/>
    <w:pPr>
      <w:spacing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EF70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59"/>
    <w:rsid w:val="007E12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96E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6E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6E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E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E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E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E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1DFF"/>
    <w:pPr>
      <w:ind w:left="720"/>
      <w:contextualSpacing/>
    </w:pPr>
  </w:style>
  <w:style w:type="paragraph" w:styleId="Revision">
    <w:name w:val="Revision"/>
    <w:hidden/>
    <w:uiPriority w:val="99"/>
    <w:semiHidden/>
    <w:rsid w:val="00C74BA8"/>
    <w:pPr>
      <w:spacing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EF70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liam.jones@uhs.nhs.uk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nvo.org.uk/wp-content/uploads/2018/06/Public_Involvement_Standards_v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william.jones@uhs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4E7CF-13C9-46E6-87E7-5E7E5DABB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UHS</Company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Barker, Caroline</dc:creator>
  <cp:lastModifiedBy>Jones, William</cp:lastModifiedBy>
  <cp:revision>21</cp:revision>
  <dcterms:created xsi:type="dcterms:W3CDTF">2019-12-18T16:07:00Z</dcterms:created>
  <dcterms:modified xsi:type="dcterms:W3CDTF">2020-02-06T15:06:00Z</dcterms:modified>
</cp:coreProperties>
</file>